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B" w:rsidRPr="00491F1D" w:rsidRDefault="0049728B" w:rsidP="0049728B">
      <w:pPr>
        <w:autoSpaceDE w:val="0"/>
        <w:autoSpaceDN w:val="0"/>
        <w:adjustRightInd w:val="0"/>
        <w:spacing w:after="0" w:line="240" w:lineRule="auto"/>
        <w:jc w:val="center"/>
        <w:rPr>
          <w:rFonts w:cs="ArialMT"/>
        </w:rPr>
      </w:pPr>
      <w:r w:rsidRPr="00491F1D">
        <w:rPr>
          <w:rFonts w:cs="ArialMT"/>
        </w:rPr>
        <w:t>SOR Funding Restrictions</w:t>
      </w:r>
      <w:r w:rsidR="00297D92" w:rsidRPr="00491F1D">
        <w:rPr>
          <w:rFonts w:cs="ArialMT"/>
        </w:rPr>
        <w:t xml:space="preserve"> </w:t>
      </w:r>
    </w:p>
    <w:p w:rsidR="0049728B" w:rsidRPr="00491F1D" w:rsidRDefault="0049728B" w:rsidP="0049728B">
      <w:pPr>
        <w:autoSpaceDE w:val="0"/>
        <w:autoSpaceDN w:val="0"/>
        <w:adjustRightInd w:val="0"/>
        <w:spacing w:after="0" w:line="240" w:lineRule="auto"/>
        <w:jc w:val="center"/>
        <w:rPr>
          <w:rFonts w:cs="ArialMT"/>
        </w:rPr>
      </w:pPr>
    </w:p>
    <w:p w:rsidR="0049728B" w:rsidRPr="00491F1D" w:rsidRDefault="0049728B" w:rsidP="0049728B">
      <w:pPr>
        <w:pStyle w:val="ListParagraph"/>
        <w:numPr>
          <w:ilvl w:val="0"/>
          <w:numId w:val="1"/>
        </w:numPr>
        <w:autoSpaceDE w:val="0"/>
        <w:autoSpaceDN w:val="0"/>
        <w:adjustRightInd w:val="0"/>
        <w:spacing w:after="0" w:line="240" w:lineRule="auto"/>
        <w:rPr>
          <w:rFonts w:cs="ArialMT"/>
        </w:rPr>
      </w:pPr>
      <w:r w:rsidRPr="00491F1D">
        <w:rPr>
          <w:rFonts w:cs="ArialMT"/>
        </w:rPr>
        <w:t xml:space="preserve">Funds may not be used to support programs that do not demonstrate evidence of increasing the number of persons receiving FDA approved medications for the treatment of opioid use disorder, reducing unmet treatment need, and reducing opioid overdose related deaths through the provision of prevention, treatment and recovery activities for opioid use disorder. </w:t>
      </w:r>
    </w:p>
    <w:p w:rsidR="0049728B" w:rsidRPr="00491F1D" w:rsidRDefault="0049728B" w:rsidP="0049728B">
      <w:pPr>
        <w:autoSpaceDE w:val="0"/>
        <w:autoSpaceDN w:val="0"/>
        <w:adjustRightInd w:val="0"/>
        <w:spacing w:after="0" w:line="240" w:lineRule="auto"/>
        <w:jc w:val="center"/>
        <w:rPr>
          <w:rFonts w:cs="ArialMT"/>
        </w:rPr>
      </w:pPr>
    </w:p>
    <w:p w:rsidR="0049728B" w:rsidRPr="00491F1D" w:rsidRDefault="0049728B" w:rsidP="0049728B">
      <w:pPr>
        <w:pStyle w:val="ListParagraph"/>
        <w:numPr>
          <w:ilvl w:val="0"/>
          <w:numId w:val="1"/>
        </w:numPr>
        <w:autoSpaceDE w:val="0"/>
        <w:autoSpaceDN w:val="0"/>
        <w:adjustRightInd w:val="0"/>
        <w:spacing w:after="0" w:line="240" w:lineRule="auto"/>
        <w:rPr>
          <w:rFonts w:cs="ArialMT"/>
        </w:rPr>
      </w:pPr>
      <w:r w:rsidRPr="00491F1D">
        <w:rPr>
          <w:rFonts w:cs="ArialMT"/>
        </w:rPr>
        <w:t>SOR funds shall be used to fund services and practices that have a demonstrated evidence-base, and that are appropriate for the population(s) of focus.</w:t>
      </w:r>
    </w:p>
    <w:p w:rsidR="0049728B" w:rsidRPr="00491F1D" w:rsidRDefault="0049728B" w:rsidP="0049728B">
      <w:pPr>
        <w:autoSpaceDE w:val="0"/>
        <w:autoSpaceDN w:val="0"/>
        <w:adjustRightInd w:val="0"/>
        <w:spacing w:after="0" w:line="240" w:lineRule="auto"/>
        <w:rPr>
          <w:rFonts w:cs="ArialMT"/>
        </w:rPr>
      </w:pPr>
    </w:p>
    <w:p w:rsidR="0049728B" w:rsidRPr="00491F1D" w:rsidRDefault="0049728B" w:rsidP="0049728B">
      <w:pPr>
        <w:pStyle w:val="ListParagraph"/>
        <w:numPr>
          <w:ilvl w:val="0"/>
          <w:numId w:val="1"/>
        </w:numPr>
        <w:autoSpaceDE w:val="0"/>
        <w:autoSpaceDN w:val="0"/>
        <w:adjustRightInd w:val="0"/>
        <w:spacing w:after="0" w:line="240" w:lineRule="auto"/>
        <w:rPr>
          <w:rFonts w:cs="ArialMT"/>
        </w:rPr>
      </w:pPr>
      <w:r w:rsidRPr="00491F1D">
        <w:rPr>
          <w:rFonts w:cs="ArialMT"/>
        </w:rPr>
        <w:t>SOR funds shall not be utilized for services that can be supported through other accessible sources of funding such as other federal discretionary and formula grant funds, e.g. HHS (CDC, CMS, HRSA, and SAMHSA), DOJ (OJP/BJA) and non-federal funds, 3rd party insurance, and sliding scale self-pay among others.</w:t>
      </w:r>
    </w:p>
    <w:p w:rsidR="0049728B" w:rsidRPr="00491F1D" w:rsidRDefault="0049728B" w:rsidP="0049728B">
      <w:pPr>
        <w:autoSpaceDE w:val="0"/>
        <w:autoSpaceDN w:val="0"/>
        <w:adjustRightInd w:val="0"/>
        <w:spacing w:after="0" w:line="240" w:lineRule="auto"/>
        <w:rPr>
          <w:rFonts w:cs="ArialMT"/>
        </w:rPr>
      </w:pPr>
    </w:p>
    <w:p w:rsidR="0049728B" w:rsidRPr="00491F1D" w:rsidRDefault="0049728B" w:rsidP="0049728B">
      <w:pPr>
        <w:pStyle w:val="ListParagraph"/>
        <w:numPr>
          <w:ilvl w:val="0"/>
          <w:numId w:val="1"/>
        </w:numPr>
        <w:autoSpaceDE w:val="0"/>
        <w:autoSpaceDN w:val="0"/>
        <w:adjustRightInd w:val="0"/>
        <w:spacing w:after="0" w:line="240" w:lineRule="auto"/>
        <w:rPr>
          <w:rFonts w:cs="ArialMT"/>
        </w:rPr>
      </w:pPr>
      <w:r w:rsidRPr="00491F1D">
        <w:rPr>
          <w:rFonts w:cs="ArialMT"/>
        </w:rPr>
        <w:t>SOR funds for treatment and recovery support services shall only be utilized to provide services to individuals with a diagnosis of an opioid use disorder or to individuals with a demonstrated history of opioid overdose problems.</w:t>
      </w:r>
    </w:p>
    <w:p w:rsidR="0049728B" w:rsidRPr="00491F1D" w:rsidRDefault="0049728B" w:rsidP="0049728B">
      <w:pPr>
        <w:autoSpaceDE w:val="0"/>
        <w:autoSpaceDN w:val="0"/>
        <w:adjustRightInd w:val="0"/>
        <w:spacing w:after="0" w:line="240" w:lineRule="auto"/>
        <w:rPr>
          <w:rFonts w:cs="ArialMT"/>
        </w:rPr>
      </w:pPr>
    </w:p>
    <w:p w:rsidR="00856B26" w:rsidRPr="00491F1D" w:rsidRDefault="0049728B" w:rsidP="0049728B">
      <w:pPr>
        <w:pStyle w:val="ListParagraph"/>
        <w:numPr>
          <w:ilvl w:val="0"/>
          <w:numId w:val="1"/>
        </w:numPr>
        <w:autoSpaceDE w:val="0"/>
        <w:autoSpaceDN w:val="0"/>
        <w:adjustRightInd w:val="0"/>
        <w:spacing w:after="0" w:line="240" w:lineRule="auto"/>
        <w:rPr>
          <w:rFonts w:cs="ArialMT"/>
        </w:rPr>
      </w:pPr>
      <w:r w:rsidRPr="00491F1D">
        <w:rPr>
          <w:rFonts w:cs="ArialMT"/>
        </w:rPr>
        <w:t>Grantees are expected to report data as required in the FOA and to fully participate in any SAMHSA-sponsored evaluation of this program. All required data must be reported to the appropriate system within SAMHSA specified timelines. The submission of these data in the form required by SAMHSA is a requirement of funding.</w:t>
      </w:r>
    </w:p>
    <w:p w:rsidR="0049728B" w:rsidRPr="00491F1D" w:rsidRDefault="0049728B" w:rsidP="0049728B">
      <w:pPr>
        <w:autoSpaceDE w:val="0"/>
        <w:autoSpaceDN w:val="0"/>
        <w:adjustRightInd w:val="0"/>
        <w:spacing w:after="0" w:line="240" w:lineRule="auto"/>
        <w:rPr>
          <w:rFonts w:cs="ArialMT"/>
        </w:rPr>
      </w:pPr>
    </w:p>
    <w:p w:rsidR="0049728B" w:rsidRPr="00491F1D" w:rsidRDefault="0049728B" w:rsidP="0049728B">
      <w:pPr>
        <w:pStyle w:val="ListParagraph"/>
        <w:numPr>
          <w:ilvl w:val="0"/>
          <w:numId w:val="1"/>
        </w:numPr>
        <w:autoSpaceDE w:val="0"/>
        <w:autoSpaceDN w:val="0"/>
        <w:adjustRightInd w:val="0"/>
        <w:spacing w:after="0" w:line="240" w:lineRule="auto"/>
        <w:rPr>
          <w:rFonts w:cs="ArialMT"/>
        </w:rPr>
      </w:pPr>
      <w:r w:rsidRPr="00491F1D">
        <w:rPr>
          <w:rFonts w:cs="ArialMT"/>
        </w:rPr>
        <w:t>Medication Assisted Treatment (MAT) using one of the FDA-approved medications for the maintenance treatment of opioid use disorder (methadone, buprenorphine/naloxone products/buprenorphine products including sublingual tablets/film, buccal film, and extended release, long-acting injectable buprenorphine formulations and injectable naltrexone) is a required activity of your grant per the terms of your grant award.</w:t>
      </w:r>
      <w:r w:rsidR="0027049C">
        <w:rPr>
          <w:rFonts w:cs="ArialMT"/>
        </w:rPr>
        <w:t xml:space="preserve"> – applicable to treatment programs only</w:t>
      </w:r>
    </w:p>
    <w:p w:rsidR="00B009DF" w:rsidRPr="00491F1D" w:rsidRDefault="00B009DF" w:rsidP="00B009DF">
      <w:pPr>
        <w:pStyle w:val="ListParagraph"/>
        <w:rPr>
          <w:rFonts w:cs="ArialMT"/>
        </w:rPr>
      </w:pPr>
    </w:p>
    <w:p w:rsidR="00B009DF" w:rsidRPr="00491F1D" w:rsidRDefault="00B009DF" w:rsidP="00B009DF">
      <w:pPr>
        <w:pStyle w:val="ListParagraph"/>
        <w:numPr>
          <w:ilvl w:val="0"/>
          <w:numId w:val="1"/>
        </w:numPr>
        <w:tabs>
          <w:tab w:val="left" w:pos="1008"/>
        </w:tabs>
        <w:rPr>
          <w:bCs/>
          <w:iCs/>
        </w:rPr>
      </w:pPr>
      <w:r w:rsidRPr="00491F1D">
        <w:rPr>
          <w:bCs/>
          <w:iCs/>
        </w:rPr>
        <w:t>Medical withdrawal (detoxification) is not the standard of care for OUD, is associated with a very high relapse rate, and significantly increases an individual’s risk for opioid overdose and death if opioid use is resumed. Therefore, medical withdrawal (detoxification) when done in isolation is not an evidence-based practice for OUD. If medical withdrawal (detoxification) is performed, it must be accompanied by injectable extended-release naltrexone to pr</w:t>
      </w:r>
      <w:bookmarkStart w:id="0" w:name="_GoBack"/>
      <w:bookmarkEnd w:id="0"/>
      <w:r w:rsidRPr="00491F1D">
        <w:rPr>
          <w:bCs/>
          <w:iCs/>
        </w:rPr>
        <w:t xml:space="preserve">otect such individuals from opioid overdose in relapse and improve treatment outcomes. </w:t>
      </w:r>
    </w:p>
    <w:p w:rsidR="0049728B" w:rsidRPr="00491F1D" w:rsidRDefault="0049728B" w:rsidP="0049728B">
      <w:pPr>
        <w:autoSpaceDE w:val="0"/>
        <w:autoSpaceDN w:val="0"/>
        <w:adjustRightInd w:val="0"/>
        <w:spacing w:after="0" w:line="240" w:lineRule="auto"/>
        <w:rPr>
          <w:rFonts w:cs="ArialMT"/>
        </w:rPr>
      </w:pPr>
    </w:p>
    <w:p w:rsidR="0049728B" w:rsidRPr="00491F1D" w:rsidRDefault="0049728B" w:rsidP="0049728B">
      <w:pPr>
        <w:pStyle w:val="ListParagraph"/>
        <w:numPr>
          <w:ilvl w:val="0"/>
          <w:numId w:val="1"/>
        </w:numPr>
        <w:autoSpaceDE w:val="0"/>
        <w:autoSpaceDN w:val="0"/>
        <w:adjustRightInd w:val="0"/>
        <w:spacing w:after="0" w:line="240" w:lineRule="auto"/>
      </w:pPr>
      <w:r w:rsidRPr="00491F1D">
        <w:rPr>
          <w:rFonts w:cs="ArialMT"/>
        </w:rPr>
        <w:t>Recipients are required to work with the SAMHSA Opioid-STR TA grant awarded to AAAP as the primary means of TA provision. Recipients are expected to report data as required in the Funding Opportunity Announcement (FOA) and to fully participate in the cross-site evaluation of the program.</w:t>
      </w:r>
    </w:p>
    <w:p w:rsidR="0049728B" w:rsidRPr="00491F1D" w:rsidRDefault="0049728B" w:rsidP="0049728B">
      <w:pPr>
        <w:autoSpaceDE w:val="0"/>
        <w:autoSpaceDN w:val="0"/>
        <w:adjustRightInd w:val="0"/>
        <w:spacing w:after="0" w:line="240" w:lineRule="auto"/>
      </w:pPr>
    </w:p>
    <w:p w:rsidR="0049728B" w:rsidRPr="00491F1D" w:rsidRDefault="0049728B" w:rsidP="0049728B">
      <w:pPr>
        <w:pStyle w:val="ListBullet"/>
        <w:numPr>
          <w:ilvl w:val="0"/>
          <w:numId w:val="1"/>
        </w:numPr>
        <w:tabs>
          <w:tab w:val="left" w:pos="1080"/>
        </w:tabs>
        <w:rPr>
          <w:rFonts w:asciiTheme="minorHAnsi" w:hAnsiTheme="minorHAnsi"/>
          <w:sz w:val="22"/>
          <w:szCs w:val="22"/>
        </w:rPr>
      </w:pPr>
      <w:r w:rsidRPr="00491F1D">
        <w:rPr>
          <w:rFonts w:asciiTheme="minorHAnsi" w:hAnsiTheme="minorHAnsi"/>
          <w:bCs/>
          <w:sz w:val="22"/>
          <w:szCs w:val="22"/>
        </w:rPr>
        <w:t xml:space="preserve">Only </w:t>
      </w:r>
      <w:r w:rsidRPr="00491F1D">
        <w:rPr>
          <w:rFonts w:asciiTheme="minorHAnsi" w:hAnsiTheme="minorHAnsi"/>
          <w:sz w:val="22"/>
          <w:szCs w:val="22"/>
        </w:rPr>
        <w:t>U.S. Food and Drug Administration (FDA) –approved products can be purchased with Opioid SOR grant funds.</w:t>
      </w:r>
    </w:p>
    <w:p w:rsidR="0049728B" w:rsidRPr="00491F1D" w:rsidRDefault="0049728B" w:rsidP="0049728B">
      <w:pPr>
        <w:pStyle w:val="ListBullet"/>
        <w:numPr>
          <w:ilvl w:val="0"/>
          <w:numId w:val="1"/>
        </w:numPr>
        <w:tabs>
          <w:tab w:val="left" w:pos="1080"/>
        </w:tabs>
        <w:rPr>
          <w:rFonts w:asciiTheme="minorHAnsi" w:hAnsiTheme="minorHAnsi"/>
          <w:sz w:val="22"/>
          <w:szCs w:val="22"/>
        </w:rPr>
      </w:pPr>
      <w:r w:rsidRPr="00491F1D">
        <w:rPr>
          <w:rFonts w:asciiTheme="minorHAnsi" w:hAnsiTheme="minorHAnsi"/>
          <w:sz w:val="22"/>
          <w:szCs w:val="22"/>
        </w:rPr>
        <w:lastRenderedPageBreak/>
        <w:t xml:space="preserve">Funds may not be expended through the grant or a </w:t>
      </w:r>
      <w:proofErr w:type="spellStart"/>
      <w:r w:rsidRPr="00491F1D">
        <w:rPr>
          <w:rFonts w:asciiTheme="minorHAnsi" w:hAnsiTheme="minorHAnsi"/>
          <w:sz w:val="22"/>
          <w:szCs w:val="22"/>
        </w:rPr>
        <w:t>subaward</w:t>
      </w:r>
      <w:proofErr w:type="spellEnd"/>
      <w:r w:rsidRPr="00491F1D">
        <w:rPr>
          <w:rFonts w:asciiTheme="minorHAnsi" w:hAnsiTheme="minorHAnsi"/>
          <w:sz w:val="22"/>
          <w:szCs w:val="22"/>
        </w:rPr>
        <w:t xml:space="preserve"> by any agency which would deny any eligible client, patient or individual access to their program because of their use of FDA-approved medications for the treatment of substance use disorders (e.g., methadone, buprenorphine products including buprenorphine/naloxone combination formulations and buprenorphine </w:t>
      </w:r>
      <w:proofErr w:type="spellStart"/>
      <w:r w:rsidRPr="00491F1D">
        <w:rPr>
          <w:rFonts w:asciiTheme="minorHAnsi" w:hAnsiTheme="minorHAnsi"/>
          <w:sz w:val="22"/>
          <w:szCs w:val="22"/>
        </w:rPr>
        <w:t>monoproduct</w:t>
      </w:r>
      <w:proofErr w:type="spellEnd"/>
      <w:r w:rsidRPr="00491F1D">
        <w:rPr>
          <w:rFonts w:asciiTheme="minorHAnsi" w:hAnsiTheme="minorHAnsi"/>
          <w:sz w:val="22"/>
          <w:szCs w:val="22"/>
        </w:rPr>
        <w:t xml:space="preserve"> formulations, naltrexone products including extended-release and oral formulations or implantable buprenorphine.) Specifically, patients must be allowed to participate in methadone treatment rendered in accordance with current federal and state methadone dispensing regulations from an Opioid Treatment Program and ordered by a physician who has evaluated the client and determined that methadone is an appropriate medication treatment for the individual’s opioid use disorder. Similarly, medications available by prescription or office-based implantation must be permitted if it is appropriately authorized through prescription by a licensed prescriber or provider. In all cases, MAT must be permitted to be continued for </w:t>
      </w:r>
      <w:proofErr w:type="gramStart"/>
      <w:r w:rsidRPr="00491F1D">
        <w:rPr>
          <w:rFonts w:asciiTheme="minorHAnsi" w:hAnsiTheme="minorHAnsi"/>
          <w:sz w:val="22"/>
          <w:szCs w:val="22"/>
        </w:rPr>
        <w:t>as long as</w:t>
      </w:r>
      <w:proofErr w:type="gramEnd"/>
      <w:r w:rsidRPr="00491F1D">
        <w:rPr>
          <w:rFonts w:asciiTheme="minorHAnsi" w:hAnsiTheme="minorHAnsi"/>
          <w:sz w:val="22"/>
          <w:szCs w:val="22"/>
        </w:rPr>
        <w:t xml:space="preserve"> the prescriber or treatment provider determines that the medication is clinically beneficial. Grantees must assure that clients will not be compelled to no longer use MAT as part of the conditions of any programming if stopping is inconsistent with a licensed prescriber’s recommendation or valid prescription. </w:t>
      </w:r>
    </w:p>
    <w:p w:rsidR="0049728B" w:rsidRPr="00491F1D" w:rsidRDefault="0049728B" w:rsidP="0049728B">
      <w:pPr>
        <w:pStyle w:val="ListBullet"/>
        <w:tabs>
          <w:tab w:val="left" w:pos="1080"/>
        </w:tabs>
        <w:jc w:val="center"/>
        <w:rPr>
          <w:rFonts w:asciiTheme="minorHAnsi" w:hAnsiTheme="minorHAnsi"/>
          <w:sz w:val="22"/>
          <w:szCs w:val="22"/>
        </w:rPr>
      </w:pPr>
      <w:r w:rsidRPr="00491F1D">
        <w:rPr>
          <w:rFonts w:asciiTheme="minorHAnsi" w:hAnsiTheme="minorHAnsi"/>
          <w:sz w:val="22"/>
          <w:szCs w:val="22"/>
        </w:rPr>
        <w:t>General Funding Restrictions</w:t>
      </w:r>
    </w:p>
    <w:p w:rsidR="0049728B" w:rsidRPr="00491F1D" w:rsidRDefault="0049728B" w:rsidP="0049728B">
      <w:pPr>
        <w:tabs>
          <w:tab w:val="left" w:pos="1008"/>
        </w:tabs>
        <w:rPr>
          <w:rFonts w:cs="Arial"/>
        </w:rPr>
      </w:pPr>
      <w:r w:rsidRPr="00491F1D">
        <w:rPr>
          <w:rFonts w:cs="Arial"/>
        </w:rPr>
        <w:t>SAMHSA grant funds must be used for purposes supported by the program and may not be used to:</w:t>
      </w:r>
    </w:p>
    <w:p w:rsidR="0049728B" w:rsidRPr="00491F1D" w:rsidRDefault="0049728B" w:rsidP="0049728B">
      <w:pPr>
        <w:numPr>
          <w:ilvl w:val="0"/>
          <w:numId w:val="4"/>
        </w:numPr>
        <w:tabs>
          <w:tab w:val="left" w:pos="1008"/>
        </w:tabs>
        <w:spacing w:after="240" w:line="240" w:lineRule="auto"/>
        <w:contextualSpacing/>
        <w:rPr>
          <w:rFonts w:cs="Arial"/>
        </w:rPr>
      </w:pPr>
      <w:r w:rsidRPr="00491F1D">
        <w:rPr>
          <w:rFonts w:cs="Arial"/>
        </w:rPr>
        <w:t xml:space="preserve"> Exceed Salary Limitation: The Consolidated Appropriations Act, 2016 (Pub. L.113-76) signed into law on January 10, 2016, limits the salary amount that may be awarded and charged to SAMHSA grants and cooperative agreements. Award funds may not be used to pay the salary of an individual at a rate </w:t>
      </w:r>
      <w:proofErr w:type="gramStart"/>
      <w:r w:rsidRPr="00491F1D">
        <w:rPr>
          <w:rFonts w:cs="Arial"/>
        </w:rPr>
        <w:t>in excess of</w:t>
      </w:r>
      <w:proofErr w:type="gramEnd"/>
      <w:r w:rsidRPr="00491F1D">
        <w:rPr>
          <w:rFonts w:cs="Arial"/>
        </w:rPr>
        <w:t xml:space="preserve"> Executive Level II. The Executive Level II salary can be found in SAMHSA’s standard terms and conditions for all awards at </w:t>
      </w:r>
      <w:hyperlink r:id="rId5" w:history="1">
        <w:r w:rsidRPr="00491F1D">
          <w:rPr>
            <w:rFonts w:cs="Arial"/>
            <w:u w:val="single"/>
          </w:rPr>
          <w:t>https://www.samhsa.gov/grants/grants-management/notice-award-noa/standard-terms-conditions</w:t>
        </w:r>
      </w:hyperlink>
      <w:r w:rsidRPr="00491F1D">
        <w:rPr>
          <w:rFonts w:cs="Arial"/>
        </w:rPr>
        <w:t>.  This amount reflects an individual’s base salary exclusive of fringe and any income that an individual may be permitted to earn outside of the duties to the applicant organization. This salary limitation also applies to sub awards/subcontracts under a SAMHSA grant or cooperative agreement.</w:t>
      </w:r>
    </w:p>
    <w:p w:rsidR="0049728B" w:rsidRPr="00491F1D" w:rsidRDefault="0049728B" w:rsidP="0049728B">
      <w:pPr>
        <w:tabs>
          <w:tab w:val="left" w:pos="1008"/>
        </w:tabs>
        <w:ind w:left="1080"/>
        <w:contextualSpacing/>
        <w:rPr>
          <w:rFonts w:cs="Arial"/>
        </w:rPr>
      </w:pPr>
    </w:p>
    <w:p w:rsidR="0049728B" w:rsidRPr="00491F1D" w:rsidRDefault="0049728B" w:rsidP="0049728B">
      <w:pPr>
        <w:numPr>
          <w:ilvl w:val="0"/>
          <w:numId w:val="3"/>
        </w:numPr>
        <w:spacing w:after="240" w:line="240" w:lineRule="auto"/>
        <w:rPr>
          <w:rFonts w:cs="Arial"/>
        </w:rPr>
      </w:pPr>
      <w:r w:rsidRPr="00491F1D">
        <w:rPr>
          <w:rFonts w:cs="Arial"/>
        </w:rPr>
        <w:t>Pay for any lease beyond the project period.</w:t>
      </w:r>
    </w:p>
    <w:p w:rsidR="0049728B" w:rsidRPr="00491F1D" w:rsidRDefault="0049728B" w:rsidP="0049728B">
      <w:pPr>
        <w:numPr>
          <w:ilvl w:val="0"/>
          <w:numId w:val="3"/>
        </w:numPr>
        <w:spacing w:after="240" w:line="240" w:lineRule="auto"/>
        <w:rPr>
          <w:rFonts w:cs="Arial"/>
        </w:rPr>
      </w:pPr>
      <w:r w:rsidRPr="00491F1D">
        <w:rPr>
          <w:rFonts w:cs="Arial"/>
        </w:rPr>
        <w:t xml:space="preserve">Pay for the purchase or construction of any building or structure to house any part of the program.  </w:t>
      </w:r>
    </w:p>
    <w:p w:rsidR="0049728B" w:rsidRPr="00491F1D" w:rsidRDefault="0049728B" w:rsidP="0049728B">
      <w:pPr>
        <w:numPr>
          <w:ilvl w:val="0"/>
          <w:numId w:val="3"/>
        </w:numPr>
        <w:spacing w:after="240" w:line="240" w:lineRule="auto"/>
        <w:rPr>
          <w:rFonts w:cs="Arial"/>
        </w:rPr>
      </w:pPr>
      <w:r w:rsidRPr="00491F1D">
        <w:rPr>
          <w:rFonts w:cs="Arial"/>
        </w:rPr>
        <w:t>Provide residential or outpatient treatment services when the facility has not yet been acquired, sited, approved, and met all requirements for human habitation and services provision. (Expansion or enhancement of existing residential services is permissible.)</w:t>
      </w:r>
    </w:p>
    <w:p w:rsidR="0049728B" w:rsidRPr="00491F1D" w:rsidRDefault="0049728B" w:rsidP="0049728B">
      <w:pPr>
        <w:numPr>
          <w:ilvl w:val="0"/>
          <w:numId w:val="3"/>
        </w:numPr>
        <w:spacing w:after="240" w:line="240" w:lineRule="auto"/>
        <w:rPr>
          <w:rFonts w:cs="Arial"/>
        </w:rPr>
      </w:pPr>
      <w:r w:rsidRPr="00491F1D">
        <w:rPr>
          <w:rFonts w:cs="Arial"/>
        </w:rPr>
        <w:t xml:space="preserve">Provide detoxification services unless it is part of the transition to MAT with extended release naltrexone.  </w:t>
      </w:r>
    </w:p>
    <w:p w:rsidR="0049728B" w:rsidRPr="00491F1D" w:rsidRDefault="0049728B" w:rsidP="0049728B">
      <w:pPr>
        <w:numPr>
          <w:ilvl w:val="0"/>
          <w:numId w:val="3"/>
        </w:numPr>
        <w:spacing w:after="240" w:line="240" w:lineRule="auto"/>
        <w:rPr>
          <w:rFonts w:cs="Arial"/>
        </w:rPr>
      </w:pPr>
      <w:r w:rsidRPr="00491F1D">
        <w:rPr>
          <w:rFonts w:cs="Arial"/>
        </w:rPr>
        <w:t xml:space="preserve">Make direct payments to individuals to enter treatment or continue to participate in prevention, treatment or recovery supports services including the use of other items to serve as payments for participation in programming such as clothing, furnishings, or vehicle repairs.   </w:t>
      </w:r>
    </w:p>
    <w:p w:rsidR="0049728B" w:rsidRPr="00491F1D" w:rsidRDefault="0049728B" w:rsidP="0049728B">
      <w:pPr>
        <w:numPr>
          <w:ilvl w:val="0"/>
          <w:numId w:val="3"/>
        </w:numPr>
        <w:spacing w:after="240" w:line="240" w:lineRule="auto"/>
        <w:rPr>
          <w:rFonts w:cs="Arial"/>
        </w:rPr>
      </w:pPr>
      <w:r w:rsidRPr="00491F1D">
        <w:rPr>
          <w:rFonts w:cs="Arial"/>
        </w:rPr>
        <w:lastRenderedPageBreak/>
        <w:t xml:space="preserve">Meals and snacks are unallowable unless they are an integral part of a conference grant as identified </w:t>
      </w:r>
      <w:r w:rsidR="00B009DF" w:rsidRPr="00491F1D">
        <w:rPr>
          <w:rFonts w:cs="Arial"/>
        </w:rPr>
        <w:t>in the funding opportunity, request for proposal or bid opportunity</w:t>
      </w:r>
      <w:r w:rsidRPr="00491F1D">
        <w:rPr>
          <w:rFonts w:cs="Arial"/>
        </w:rPr>
        <w:t xml:space="preserve">. </w:t>
      </w:r>
    </w:p>
    <w:p w:rsidR="0049728B" w:rsidRPr="00491F1D" w:rsidRDefault="0049728B" w:rsidP="0049728B">
      <w:pPr>
        <w:pStyle w:val="ListParagraph"/>
        <w:numPr>
          <w:ilvl w:val="0"/>
          <w:numId w:val="3"/>
        </w:numPr>
        <w:tabs>
          <w:tab w:val="left" w:pos="1008"/>
        </w:tabs>
        <w:spacing w:after="240" w:line="240" w:lineRule="auto"/>
        <w:rPr>
          <w:bCs/>
          <w:iCs/>
        </w:rPr>
      </w:pPr>
      <w:r w:rsidRPr="00491F1D">
        <w:rPr>
          <w:bCs/>
          <w:iCs/>
        </w:rPr>
        <w:t>Support non-evidence-based treatment approaches.</w:t>
      </w:r>
    </w:p>
    <w:p w:rsidR="0049728B" w:rsidRPr="00491F1D" w:rsidRDefault="0049728B" w:rsidP="0049728B">
      <w:pPr>
        <w:pStyle w:val="ListParagraph"/>
        <w:tabs>
          <w:tab w:val="left" w:pos="1008"/>
        </w:tabs>
        <w:spacing w:after="240" w:line="240" w:lineRule="auto"/>
        <w:ind w:left="1080"/>
        <w:rPr>
          <w:bCs/>
          <w:iCs/>
        </w:rPr>
      </w:pPr>
    </w:p>
    <w:p w:rsidR="0049728B" w:rsidRPr="00491F1D" w:rsidRDefault="0049728B" w:rsidP="0049728B">
      <w:pPr>
        <w:pStyle w:val="ListParagraph"/>
        <w:numPr>
          <w:ilvl w:val="0"/>
          <w:numId w:val="3"/>
        </w:numPr>
        <w:spacing w:after="0" w:line="240" w:lineRule="auto"/>
        <w:rPr>
          <w:rFonts w:cstheme="minorHAnsi"/>
        </w:rPr>
      </w:pPr>
      <w:r w:rsidRPr="00491F1D">
        <w:rPr>
          <w:rFonts w:cstheme="minorHAnsi"/>
        </w:rPr>
        <w:t xml:space="preserve">Cover unallowable costs associated with the use of federal funds to fund evidence-based practices (EBPs). Other sources of funds may be used for unallowable costs (e.g., meals, sporting events, entertainment) associated with the EBP. Other support is defined as funds or resources, whether federal, non-federal or institutional, in direct support of activities through fellowships, gifts, prizes, or in-kind contributions.  </w:t>
      </w:r>
    </w:p>
    <w:p w:rsidR="0049728B" w:rsidRPr="00491F1D" w:rsidRDefault="0049728B" w:rsidP="0049728B">
      <w:pPr>
        <w:spacing w:after="0" w:line="240" w:lineRule="auto"/>
        <w:rPr>
          <w:rFonts w:cstheme="minorHAnsi"/>
        </w:rPr>
      </w:pPr>
    </w:p>
    <w:p w:rsidR="0049728B" w:rsidRPr="00491F1D" w:rsidRDefault="0049728B" w:rsidP="0049728B">
      <w:pPr>
        <w:pStyle w:val="ListParagraph"/>
        <w:numPr>
          <w:ilvl w:val="0"/>
          <w:numId w:val="3"/>
        </w:numPr>
        <w:spacing w:after="0" w:line="240" w:lineRule="auto"/>
        <w:rPr>
          <w:rFonts w:cstheme="minorHAnsi"/>
        </w:rPr>
      </w:pPr>
      <w:r w:rsidRPr="00491F1D">
        <w:rPr>
          <w:rFonts w:cstheme="minorHAnsi"/>
        </w:rPr>
        <w:t xml:space="preserve">Pay for travel to a conference, lodging or associated costs (meals, incidentals, etc.) for conference attendance or registration for a conference. </w:t>
      </w:r>
    </w:p>
    <w:p w:rsidR="0049728B" w:rsidRPr="00491F1D" w:rsidRDefault="0049728B" w:rsidP="0049728B">
      <w:pPr>
        <w:spacing w:after="0" w:line="240" w:lineRule="auto"/>
        <w:rPr>
          <w:rFonts w:cstheme="minorHAnsi"/>
        </w:rPr>
      </w:pPr>
    </w:p>
    <w:p w:rsidR="0049728B" w:rsidRPr="00491F1D" w:rsidRDefault="0049728B" w:rsidP="0049728B">
      <w:pPr>
        <w:pStyle w:val="ListParagraph"/>
        <w:numPr>
          <w:ilvl w:val="0"/>
          <w:numId w:val="3"/>
        </w:numPr>
        <w:spacing w:after="0" w:line="240" w:lineRule="auto"/>
        <w:rPr>
          <w:rFonts w:cstheme="minorHAnsi"/>
        </w:rPr>
      </w:pPr>
      <w:r w:rsidRPr="00491F1D">
        <w:rPr>
          <w:rFonts w:cstheme="minorHAnsi"/>
        </w:rPr>
        <w:t>Pay for costs (including travel) associated with training outside of a workforce development specific grant</w:t>
      </w:r>
      <w:r w:rsidR="00491F1D" w:rsidRPr="00491F1D">
        <w:rPr>
          <w:rFonts w:cstheme="minorHAnsi"/>
        </w:rPr>
        <w:t xml:space="preserve"> as described in the RFA</w:t>
      </w:r>
      <w:r w:rsidRPr="00491F1D">
        <w:rPr>
          <w:rFonts w:cstheme="minorHAnsi"/>
        </w:rPr>
        <w:t xml:space="preserve">. </w:t>
      </w:r>
    </w:p>
    <w:p w:rsidR="0049728B" w:rsidRPr="00491F1D" w:rsidRDefault="0049728B" w:rsidP="0049728B">
      <w:pPr>
        <w:spacing w:after="0" w:line="240" w:lineRule="auto"/>
        <w:rPr>
          <w:rFonts w:cstheme="minorHAnsi"/>
        </w:rPr>
      </w:pPr>
    </w:p>
    <w:p w:rsidR="0049728B" w:rsidRPr="00491F1D" w:rsidRDefault="0049728B" w:rsidP="0049728B">
      <w:pPr>
        <w:pStyle w:val="ListParagraph"/>
        <w:numPr>
          <w:ilvl w:val="0"/>
          <w:numId w:val="3"/>
        </w:numPr>
        <w:spacing w:after="0" w:line="240" w:lineRule="auto"/>
        <w:rPr>
          <w:rFonts w:cstheme="minorHAnsi"/>
          <w:b/>
        </w:rPr>
      </w:pPr>
      <w:r w:rsidRPr="00491F1D">
        <w:rPr>
          <w:rFonts w:cstheme="minorHAnsi"/>
        </w:rPr>
        <w:t>Pay for equipment (items that exceed $5,000 in cost) without prior approval.</w:t>
      </w:r>
    </w:p>
    <w:p w:rsidR="0049728B" w:rsidRPr="00491F1D" w:rsidRDefault="0049728B" w:rsidP="0049728B">
      <w:pPr>
        <w:pStyle w:val="ListParagraph"/>
        <w:rPr>
          <w:rFonts w:cstheme="minorHAnsi"/>
          <w:b/>
        </w:rPr>
      </w:pPr>
    </w:p>
    <w:p w:rsidR="0049728B" w:rsidRPr="00491F1D" w:rsidRDefault="0049728B" w:rsidP="0049728B">
      <w:pPr>
        <w:pStyle w:val="ListParagraph"/>
        <w:numPr>
          <w:ilvl w:val="0"/>
          <w:numId w:val="3"/>
        </w:numPr>
        <w:spacing w:after="0" w:line="240" w:lineRule="auto"/>
        <w:rPr>
          <w:rFonts w:cstheme="minorHAnsi"/>
          <w:b/>
        </w:rPr>
      </w:pPr>
      <w:r w:rsidRPr="00491F1D">
        <w:rPr>
          <w:rFonts w:cstheme="minorHAnsi"/>
        </w:rPr>
        <w:t xml:space="preserve">All treatment services must be identified by an ASAM level of care classification. Non-clinical support services are allowable if they are associated with services that are identified with an ASAM level of care classification – i.e. transportation, etc.  </w:t>
      </w:r>
    </w:p>
    <w:p w:rsidR="0049728B" w:rsidRPr="00491F1D" w:rsidRDefault="0049728B" w:rsidP="0049728B">
      <w:pPr>
        <w:spacing w:after="0" w:line="240" w:lineRule="auto"/>
        <w:rPr>
          <w:rFonts w:cstheme="minorHAnsi"/>
        </w:rPr>
      </w:pPr>
    </w:p>
    <w:p w:rsidR="0049728B" w:rsidRPr="00491F1D" w:rsidRDefault="0049728B" w:rsidP="0049728B">
      <w:pPr>
        <w:pStyle w:val="ListParagraph"/>
        <w:numPr>
          <w:ilvl w:val="0"/>
          <w:numId w:val="3"/>
        </w:numPr>
        <w:spacing w:after="0" w:line="240" w:lineRule="auto"/>
        <w:rPr>
          <w:rFonts w:cstheme="minorHAnsi"/>
          <w:b/>
        </w:rPr>
      </w:pPr>
      <w:r w:rsidRPr="00491F1D">
        <w:rPr>
          <w:rFonts w:cstheme="minorHAnsi"/>
        </w:rPr>
        <w:t xml:space="preserve">Pay for software enhancements. </w:t>
      </w:r>
    </w:p>
    <w:p w:rsidR="0049728B" w:rsidRPr="00491F1D" w:rsidRDefault="0049728B" w:rsidP="0049728B">
      <w:pPr>
        <w:pStyle w:val="ListParagraph"/>
        <w:rPr>
          <w:rFonts w:cstheme="minorHAnsi"/>
        </w:rPr>
      </w:pPr>
    </w:p>
    <w:p w:rsidR="0049728B" w:rsidRPr="00491F1D" w:rsidRDefault="0049728B" w:rsidP="0049728B">
      <w:pPr>
        <w:pStyle w:val="ListParagraph"/>
        <w:numPr>
          <w:ilvl w:val="0"/>
          <w:numId w:val="3"/>
        </w:numPr>
        <w:spacing w:after="0" w:line="240" w:lineRule="auto"/>
        <w:rPr>
          <w:rFonts w:cstheme="minorHAnsi"/>
          <w:b/>
        </w:rPr>
      </w:pPr>
      <w:r w:rsidRPr="00491F1D">
        <w:rPr>
          <w:rFonts w:cstheme="minorHAnsi"/>
        </w:rPr>
        <w:t xml:space="preserve">Pay for marketing of programs or groups. </w:t>
      </w:r>
    </w:p>
    <w:p w:rsidR="0049728B" w:rsidRPr="00491F1D" w:rsidRDefault="0049728B" w:rsidP="0049728B">
      <w:pPr>
        <w:spacing w:after="0" w:line="240" w:lineRule="auto"/>
        <w:rPr>
          <w:rFonts w:cstheme="minorHAnsi"/>
          <w:b/>
        </w:rPr>
      </w:pPr>
    </w:p>
    <w:p w:rsidR="0049728B" w:rsidRPr="00491F1D" w:rsidRDefault="0049728B" w:rsidP="0049728B">
      <w:pPr>
        <w:pStyle w:val="ListBullet"/>
        <w:tabs>
          <w:tab w:val="left" w:pos="1080"/>
        </w:tabs>
        <w:rPr>
          <w:rFonts w:asciiTheme="minorHAnsi" w:hAnsiTheme="minorHAnsi"/>
          <w:sz w:val="22"/>
          <w:szCs w:val="22"/>
        </w:rPr>
      </w:pPr>
    </w:p>
    <w:p w:rsidR="0049728B" w:rsidRPr="00491F1D" w:rsidRDefault="0049728B" w:rsidP="0049728B">
      <w:pPr>
        <w:pStyle w:val="ListBullet"/>
        <w:tabs>
          <w:tab w:val="left" w:pos="1080"/>
        </w:tabs>
        <w:rPr>
          <w:rFonts w:asciiTheme="minorHAnsi" w:hAnsiTheme="minorHAnsi"/>
          <w:sz w:val="22"/>
          <w:szCs w:val="22"/>
        </w:rPr>
      </w:pPr>
    </w:p>
    <w:p w:rsidR="0049728B" w:rsidRPr="00491F1D" w:rsidRDefault="0049728B" w:rsidP="0049728B">
      <w:pPr>
        <w:autoSpaceDE w:val="0"/>
        <w:autoSpaceDN w:val="0"/>
        <w:adjustRightInd w:val="0"/>
        <w:spacing w:after="0" w:line="240" w:lineRule="auto"/>
      </w:pPr>
    </w:p>
    <w:sectPr w:rsidR="0049728B" w:rsidRPr="00491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A77875"/>
    <w:multiLevelType w:val="hybridMultilevel"/>
    <w:tmpl w:val="09D0D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C309D1"/>
    <w:multiLevelType w:val="hybridMultilevel"/>
    <w:tmpl w:val="CD166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28B"/>
    <w:rsid w:val="0027049C"/>
    <w:rsid w:val="00297D92"/>
    <w:rsid w:val="00491F1D"/>
    <w:rsid w:val="0049728B"/>
    <w:rsid w:val="005D2BBA"/>
    <w:rsid w:val="00AC55B8"/>
    <w:rsid w:val="00B00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73F2E"/>
  <w15:chartTrackingRefBased/>
  <w15:docId w15:val="{03F4E0CC-E5B8-4A65-805F-AB5232F6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728B"/>
    <w:pPr>
      <w:ind w:left="720"/>
      <w:contextualSpacing/>
    </w:pPr>
  </w:style>
  <w:style w:type="paragraph" w:styleId="ListBullet">
    <w:name w:val="List Bullet"/>
    <w:basedOn w:val="Normal"/>
    <w:link w:val="ListBulletChar"/>
    <w:uiPriority w:val="99"/>
    <w:rsid w:val="0049728B"/>
    <w:pPr>
      <w:spacing w:after="240" w:line="240" w:lineRule="auto"/>
    </w:pPr>
    <w:rPr>
      <w:rFonts w:ascii="Arial" w:eastAsia="Times New Roman" w:hAnsi="Arial" w:cs="Times New Roman"/>
      <w:sz w:val="24"/>
      <w:szCs w:val="24"/>
    </w:rPr>
  </w:style>
  <w:style w:type="character" w:customStyle="1" w:styleId="ListBulletChar">
    <w:name w:val="List Bullet Char"/>
    <w:link w:val="ListBullet"/>
    <w:uiPriority w:val="99"/>
    <w:rsid w:val="0049728B"/>
    <w:rPr>
      <w:rFonts w:ascii="Arial" w:eastAsia="Times New Roman" w:hAnsi="Arial" w:cs="Times New Roman"/>
      <w:sz w:val="24"/>
      <w:szCs w:val="24"/>
    </w:rPr>
  </w:style>
  <w:style w:type="character" w:customStyle="1" w:styleId="ListParagraphChar">
    <w:name w:val="List Paragraph Char"/>
    <w:link w:val="ListParagraph"/>
    <w:uiPriority w:val="34"/>
    <w:locked/>
    <w:rsid w:val="0049728B"/>
  </w:style>
  <w:style w:type="paragraph" w:styleId="BalloonText">
    <w:name w:val="Balloon Text"/>
    <w:basedOn w:val="Normal"/>
    <w:link w:val="BalloonTextChar"/>
    <w:uiPriority w:val="99"/>
    <w:semiHidden/>
    <w:unhideWhenUsed/>
    <w:rsid w:val="00297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7D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amhsa.gov/grants/grants-management/notice-award-noa/standard-terms-condi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1108</Words>
  <Characters>6320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 Augspurger</dc:creator>
  <cp:keywords/>
  <dc:description/>
  <cp:lastModifiedBy>Ellen C. Augspurger</cp:lastModifiedBy>
  <cp:revision>5</cp:revision>
  <cp:lastPrinted>2018-09-20T11:42:00Z</cp:lastPrinted>
  <dcterms:created xsi:type="dcterms:W3CDTF">2018-09-20T11:21:00Z</dcterms:created>
  <dcterms:modified xsi:type="dcterms:W3CDTF">2019-01-16T16:08:00Z</dcterms:modified>
</cp:coreProperties>
</file>